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659" w:rsidRDefault="00F50659" w:rsidP="00047A10">
      <w:pPr>
        <w:tabs>
          <w:tab w:val="left" w:pos="885"/>
        </w:tabs>
        <w:ind w:right="-568"/>
        <w:jc w:val="both"/>
        <w:rPr>
          <w:rFonts w:ascii="Arial" w:hAnsi="Arial" w:cs="Arial"/>
          <w:lang w:val="es-ES"/>
        </w:rPr>
      </w:pPr>
      <w:bookmarkStart w:id="0" w:name="_Hlk212457574"/>
    </w:p>
    <w:p w:rsidR="00F50659" w:rsidRDefault="00047A10" w:rsidP="00047A10">
      <w:pPr>
        <w:tabs>
          <w:tab w:val="left" w:pos="1005"/>
        </w:tabs>
        <w:ind w:left="-284" w:right="-568"/>
        <w:jc w:val="both"/>
        <w:rPr>
          <w:rFonts w:ascii="Arial" w:hAnsi="Arial" w:cs="Arial"/>
          <w:lang w:val="es-ES"/>
        </w:rPr>
      </w:pPr>
      <w:r>
        <w:rPr>
          <w:rFonts w:ascii="Arial" w:hAnsi="Arial" w:cs="Arial"/>
          <w:lang w:val="es-ES"/>
        </w:rPr>
        <w:tab/>
      </w:r>
    </w:p>
    <w:p w:rsidR="00F50659" w:rsidRDefault="00F50659">
      <w:pPr>
        <w:ind w:left="-284" w:right="-568"/>
        <w:jc w:val="both"/>
        <w:rPr>
          <w:rFonts w:ascii="Arial" w:hAnsi="Arial" w:cs="Arial"/>
          <w:lang w:val="es-ES"/>
        </w:rPr>
      </w:pPr>
    </w:p>
    <w:p w:rsidR="00F50659" w:rsidRPr="00047A10" w:rsidRDefault="00047A10">
      <w:pPr>
        <w:spacing w:line="276" w:lineRule="auto"/>
        <w:ind w:left="-284" w:right="-568"/>
        <w:jc w:val="center"/>
        <w:rPr>
          <w:rFonts w:ascii="Arial" w:hAnsi="Arial" w:cs="Arial"/>
          <w:b/>
          <w:bCs/>
          <w:sz w:val="28"/>
          <w:szCs w:val="28"/>
          <w:lang w:val="es-ES"/>
        </w:rPr>
      </w:pPr>
      <w:r w:rsidRPr="00047A10">
        <w:rPr>
          <w:rFonts w:ascii="Arial" w:hAnsi="Arial" w:cs="Arial"/>
          <w:b/>
          <w:sz w:val="28"/>
          <w:szCs w:val="28"/>
          <w:lang w:val="en-US"/>
        </w:rPr>
        <w:t>Más de 12 mil asistencias técnicas y 495 títulos de propiedad trasformaron el campo pichinchano en el 2025.</w:t>
      </w:r>
    </w:p>
    <w:bookmarkEnd w:id="0"/>
    <w:p w:rsidR="00F50659" w:rsidRDefault="00F50659">
      <w:pPr>
        <w:spacing w:line="276" w:lineRule="auto"/>
        <w:ind w:right="-568"/>
        <w:jc w:val="both"/>
        <w:rPr>
          <w:rFonts w:ascii="Arial" w:hAnsi="Arial" w:cs="Arial"/>
          <w:lang w:val="es-ES"/>
        </w:rPr>
      </w:pPr>
    </w:p>
    <w:p w:rsidR="00F50659" w:rsidRDefault="00F50659">
      <w:pPr>
        <w:spacing w:line="276" w:lineRule="auto"/>
        <w:ind w:left="-284" w:right="-568"/>
        <w:jc w:val="both"/>
        <w:rPr>
          <w:rFonts w:ascii="Arial" w:hAnsi="Arial" w:cs="Arial"/>
          <w:lang w:val="es-ES"/>
        </w:rPr>
      </w:pPr>
    </w:p>
    <w:p w:rsidR="00047A10" w:rsidRPr="00047A10" w:rsidRDefault="00047A10" w:rsidP="00047A10">
      <w:pPr>
        <w:spacing w:line="276" w:lineRule="auto"/>
        <w:ind w:left="-284" w:right="-568"/>
        <w:jc w:val="both"/>
        <w:rPr>
          <w:rFonts w:ascii="Arial" w:hAnsi="Arial" w:cs="Arial"/>
          <w:lang w:val="es-ES"/>
        </w:rPr>
      </w:pPr>
      <w:r>
        <w:rPr>
          <w:rFonts w:ascii="Arial" w:hAnsi="Arial" w:cs="Arial"/>
          <w:lang w:val="es-ES"/>
        </w:rPr>
        <w:t xml:space="preserve">La Dirección Distrital de Pichincha </w:t>
      </w:r>
      <w:bookmarkStart w:id="1" w:name="_GoBack"/>
      <w:bookmarkEnd w:id="1"/>
      <w:r w:rsidR="0077667F">
        <w:rPr>
          <w:rFonts w:ascii="Arial" w:hAnsi="Arial" w:cs="Arial"/>
          <w:lang w:val="es-ES"/>
        </w:rPr>
        <w:t xml:space="preserve">del </w:t>
      </w:r>
      <w:r w:rsidR="0077667F" w:rsidRPr="00047A10">
        <w:rPr>
          <w:rFonts w:ascii="Arial" w:hAnsi="Arial" w:cs="Arial"/>
          <w:lang w:val="es-ES"/>
        </w:rPr>
        <w:t>Ministerio</w:t>
      </w:r>
      <w:r w:rsidRPr="00047A10">
        <w:rPr>
          <w:rFonts w:ascii="Arial" w:hAnsi="Arial" w:cs="Arial"/>
          <w:lang w:val="es-ES"/>
        </w:rPr>
        <w:t xml:space="preserve"> de Agricultura, Ganadería y Pesca presentó los resultados de su Rendición de Cue</w:t>
      </w:r>
      <w:r>
        <w:rPr>
          <w:rFonts w:ascii="Arial" w:hAnsi="Arial" w:cs="Arial"/>
          <w:lang w:val="es-ES"/>
        </w:rPr>
        <w:t>ntas 2025, y los números presentan</w:t>
      </w:r>
      <w:r w:rsidRPr="00047A10">
        <w:rPr>
          <w:rFonts w:ascii="Arial" w:hAnsi="Arial" w:cs="Arial"/>
          <w:lang w:val="es-ES"/>
        </w:rPr>
        <w:t xml:space="preserve"> una</w:t>
      </w:r>
      <w:r>
        <w:rPr>
          <w:rFonts w:ascii="Arial" w:hAnsi="Arial" w:cs="Arial"/>
          <w:lang w:val="es-ES"/>
        </w:rPr>
        <w:t xml:space="preserve"> realizad de</w:t>
      </w:r>
      <w:r w:rsidRPr="00047A10">
        <w:rPr>
          <w:rFonts w:ascii="Arial" w:hAnsi="Arial" w:cs="Arial"/>
          <w:lang w:val="es-ES"/>
        </w:rPr>
        <w:t xml:space="preserve"> trabajo territorial, alianzas estratégicas y tecnología al servicio de quienes</w:t>
      </w:r>
      <w:r>
        <w:rPr>
          <w:rFonts w:ascii="Arial" w:hAnsi="Arial" w:cs="Arial"/>
          <w:lang w:val="es-ES"/>
        </w:rPr>
        <w:t xml:space="preserve"> producen los alimentos en la </w:t>
      </w:r>
      <w:proofErr w:type="gramStart"/>
      <w:r>
        <w:rPr>
          <w:rFonts w:ascii="Arial" w:hAnsi="Arial" w:cs="Arial"/>
          <w:lang w:val="es-ES"/>
        </w:rPr>
        <w:t>provincia.</w:t>
      </w:r>
      <w:r w:rsidRPr="00047A10">
        <w:rPr>
          <w:rFonts w:ascii="Arial" w:hAnsi="Arial" w:cs="Arial"/>
          <w:lang w:val="es-ES"/>
        </w:rPr>
        <w:t>.</w:t>
      </w:r>
      <w:proofErr w:type="gramEnd"/>
    </w:p>
    <w:p w:rsidR="00047A10" w:rsidRPr="00047A10" w:rsidRDefault="00047A10" w:rsidP="00047A10">
      <w:pPr>
        <w:spacing w:line="276" w:lineRule="auto"/>
        <w:ind w:left="-284" w:right="-568"/>
        <w:jc w:val="both"/>
        <w:rPr>
          <w:rFonts w:ascii="Arial" w:hAnsi="Arial" w:cs="Arial"/>
          <w:lang w:val="es-ES"/>
        </w:rPr>
      </w:pPr>
    </w:p>
    <w:p w:rsidR="00047A10" w:rsidRPr="00047A10" w:rsidRDefault="00047A10" w:rsidP="00047A10">
      <w:pPr>
        <w:spacing w:line="276" w:lineRule="auto"/>
        <w:ind w:left="-284" w:right="-568"/>
        <w:jc w:val="both"/>
        <w:rPr>
          <w:rFonts w:ascii="Arial" w:hAnsi="Arial" w:cs="Arial"/>
          <w:lang w:val="es-ES"/>
        </w:rPr>
      </w:pPr>
      <w:r>
        <w:rPr>
          <w:rFonts w:ascii="Arial" w:hAnsi="Arial" w:cs="Arial"/>
          <w:lang w:val="es-ES"/>
        </w:rPr>
        <w:t>A</w:t>
      </w:r>
      <w:r w:rsidRPr="00047A10">
        <w:rPr>
          <w:rFonts w:ascii="Arial" w:hAnsi="Arial" w:cs="Arial"/>
          <w:lang w:val="es-ES"/>
        </w:rPr>
        <w:t xml:space="preserve"> través del Proyecto PIDARA, se superaron las 12 mil asistencias técnicas efectivas, un acompañamiento directo que permitió entregar más de 3.500 paquetes tecnológicos con fertilizantes y productos fitosanitarios parcialmente subvencionados. La innovación también se movilizó: diez nuevas Unidades Móviles </w:t>
      </w:r>
      <w:proofErr w:type="spellStart"/>
      <w:r w:rsidRPr="00047A10">
        <w:rPr>
          <w:rFonts w:ascii="Arial" w:hAnsi="Arial" w:cs="Arial"/>
          <w:lang w:val="es-ES"/>
        </w:rPr>
        <w:t>Agroproductivas</w:t>
      </w:r>
      <w:proofErr w:type="spellEnd"/>
      <w:r w:rsidRPr="00047A10">
        <w:rPr>
          <w:rFonts w:ascii="Arial" w:hAnsi="Arial" w:cs="Arial"/>
          <w:lang w:val="es-ES"/>
        </w:rPr>
        <w:t xml:space="preserve"> (UMA) y 16 soluciones de mecanización (SOMA) </w:t>
      </w:r>
      <w:r>
        <w:rPr>
          <w:rFonts w:ascii="Arial" w:hAnsi="Arial" w:cs="Arial"/>
          <w:lang w:val="es-ES"/>
        </w:rPr>
        <w:t>se entregaron</w:t>
      </w:r>
      <w:r w:rsidRPr="00047A10">
        <w:rPr>
          <w:rFonts w:ascii="Arial" w:hAnsi="Arial" w:cs="Arial"/>
          <w:lang w:val="es-ES"/>
        </w:rPr>
        <w:t xml:space="preserve"> los territorios, mientras el sistema </w:t>
      </w:r>
      <w:proofErr w:type="spellStart"/>
      <w:r w:rsidRPr="00047A10">
        <w:rPr>
          <w:rFonts w:ascii="Arial" w:hAnsi="Arial" w:cs="Arial"/>
          <w:lang w:val="es-ES"/>
        </w:rPr>
        <w:t>Infocampo</w:t>
      </w:r>
      <w:proofErr w:type="spellEnd"/>
      <w:r w:rsidRPr="00047A10">
        <w:rPr>
          <w:rFonts w:ascii="Arial" w:hAnsi="Arial" w:cs="Arial"/>
          <w:lang w:val="es-ES"/>
        </w:rPr>
        <w:t xml:space="preserve"> sumó 3.629 productores registrados, fortaleciendo el ecosistema digital del sector.</w:t>
      </w:r>
    </w:p>
    <w:p w:rsidR="00047A10" w:rsidRPr="00047A10" w:rsidRDefault="00047A10" w:rsidP="00047A10">
      <w:pPr>
        <w:spacing w:line="276" w:lineRule="auto"/>
        <w:ind w:left="-284" w:right="-568"/>
        <w:jc w:val="both"/>
        <w:rPr>
          <w:rFonts w:ascii="Arial" w:hAnsi="Arial" w:cs="Arial"/>
          <w:lang w:val="es-ES"/>
        </w:rPr>
      </w:pPr>
    </w:p>
    <w:p w:rsidR="00047A10" w:rsidRDefault="00047A10" w:rsidP="00047A10">
      <w:pPr>
        <w:spacing w:line="276" w:lineRule="auto"/>
        <w:ind w:left="-284" w:right="-568"/>
        <w:jc w:val="both"/>
        <w:rPr>
          <w:rFonts w:ascii="Arial" w:hAnsi="Arial" w:cs="Arial"/>
          <w:lang w:val="es-ES"/>
        </w:rPr>
      </w:pPr>
      <w:r w:rsidRPr="00047A10">
        <w:rPr>
          <w:rFonts w:ascii="Arial" w:hAnsi="Arial" w:cs="Arial"/>
          <w:lang w:val="es-ES"/>
        </w:rPr>
        <w:t>La ganadería dio un salto de calidad. El Programa Nacional de Reconversión y Sostenibilidad Ganadera entregó 120 kits de pasto mejorado para clima frío, con un subsidio que superó los 37.800 dólares. Pero eso no fue todo: 215 paquetes tecnológicos pecuarios —</w:t>
      </w:r>
      <w:proofErr w:type="spellStart"/>
      <w:r w:rsidRPr="00047A10">
        <w:rPr>
          <w:rFonts w:ascii="Arial" w:hAnsi="Arial" w:cs="Arial"/>
          <w:lang w:val="es-ES"/>
        </w:rPr>
        <w:t>motoguadañas</w:t>
      </w:r>
      <w:proofErr w:type="spellEnd"/>
      <w:r w:rsidRPr="00047A10">
        <w:rPr>
          <w:rFonts w:ascii="Arial" w:hAnsi="Arial" w:cs="Arial"/>
          <w:lang w:val="es-ES"/>
        </w:rPr>
        <w:t>, picadoras, ordeñadoras móviles y más— cambiaron la rutina productiva de cientos de familias. Además, se realizaron 240 inseminaciones artificiales en ganado de leche y cuatro escuelas de fortalecimiento productivo en la provincia formaron a 80 productores que ahora lider</w:t>
      </w:r>
      <w:r>
        <w:rPr>
          <w:rFonts w:ascii="Arial" w:hAnsi="Arial" w:cs="Arial"/>
          <w:lang w:val="es-ES"/>
        </w:rPr>
        <w:t>an el cambio desde sus predios.</w:t>
      </w:r>
    </w:p>
    <w:p w:rsidR="00047A10" w:rsidRDefault="00047A10" w:rsidP="00047A10">
      <w:pPr>
        <w:spacing w:line="276" w:lineRule="auto"/>
        <w:ind w:left="-284" w:right="-568"/>
        <w:jc w:val="both"/>
        <w:rPr>
          <w:rFonts w:ascii="Arial" w:hAnsi="Arial" w:cs="Arial"/>
          <w:lang w:val="es-ES"/>
        </w:rPr>
      </w:pPr>
    </w:p>
    <w:p w:rsidR="00047A10" w:rsidRPr="00047A10" w:rsidRDefault="00047A10" w:rsidP="00047A10">
      <w:pPr>
        <w:spacing w:line="276" w:lineRule="auto"/>
        <w:ind w:left="-284" w:right="-568"/>
        <w:jc w:val="both"/>
        <w:rPr>
          <w:rFonts w:ascii="Arial" w:hAnsi="Arial" w:cs="Arial"/>
          <w:lang w:val="es-ES"/>
        </w:rPr>
      </w:pPr>
      <w:r w:rsidRPr="00047A10">
        <w:rPr>
          <w:rFonts w:ascii="Arial" w:hAnsi="Arial" w:cs="Arial"/>
          <w:lang w:val="es-ES"/>
        </w:rPr>
        <w:t>Con</w:t>
      </w:r>
      <w:r>
        <w:rPr>
          <w:rFonts w:ascii="Arial" w:hAnsi="Arial" w:cs="Arial"/>
          <w:lang w:val="es-ES"/>
        </w:rPr>
        <w:t xml:space="preserve"> más de</w:t>
      </w:r>
      <w:r w:rsidRPr="00047A10">
        <w:rPr>
          <w:rFonts w:ascii="Arial" w:hAnsi="Arial" w:cs="Arial"/>
          <w:lang w:val="es-ES"/>
        </w:rPr>
        <w:t xml:space="preserve"> 50 hectáreas dedicadas a</w:t>
      </w:r>
      <w:r>
        <w:rPr>
          <w:rFonts w:ascii="Arial" w:hAnsi="Arial" w:cs="Arial"/>
          <w:lang w:val="es-ES"/>
        </w:rPr>
        <w:t xml:space="preserve"> la producción de semilla</w:t>
      </w:r>
      <w:r w:rsidRPr="00047A10">
        <w:rPr>
          <w:rFonts w:ascii="Arial" w:hAnsi="Arial" w:cs="Arial"/>
          <w:lang w:val="es-ES"/>
        </w:rPr>
        <w:t>, se obtuvieron más de 121 toneladas métricas de semilla certificada, respaldadas por 72 inspecciones rigurosas a campos de multiplicación. Calidad y control caminaron juntos.</w:t>
      </w:r>
    </w:p>
    <w:p w:rsidR="00047A10" w:rsidRPr="00047A10" w:rsidRDefault="00047A10" w:rsidP="00047A10">
      <w:pPr>
        <w:spacing w:line="276" w:lineRule="auto"/>
        <w:ind w:left="-284" w:right="-568"/>
        <w:jc w:val="both"/>
        <w:rPr>
          <w:rFonts w:ascii="Arial" w:hAnsi="Arial" w:cs="Arial"/>
          <w:lang w:val="es-ES"/>
        </w:rPr>
      </w:pPr>
    </w:p>
    <w:p w:rsidR="00047A10" w:rsidRPr="00047A10" w:rsidRDefault="00047A10" w:rsidP="00047A10">
      <w:pPr>
        <w:spacing w:line="276" w:lineRule="auto"/>
        <w:ind w:left="-284" w:right="-568"/>
        <w:jc w:val="both"/>
        <w:rPr>
          <w:rFonts w:ascii="Arial" w:hAnsi="Arial" w:cs="Arial"/>
          <w:lang w:val="es-ES"/>
        </w:rPr>
      </w:pPr>
      <w:r w:rsidRPr="00047A10">
        <w:rPr>
          <w:rFonts w:ascii="Arial" w:hAnsi="Arial" w:cs="Arial"/>
          <w:lang w:val="es-ES"/>
        </w:rPr>
        <w:t>La Agricultura Familiar Campesina (AFC) sigue ganando reconocimiento y mercados. Nada menos que 861 productores obtuvieron el Sello AFC, un distintivo que abre puertas y construye confianza. Paralelamente, 191 productores se graduaron de las Comunidades de Aprendizaje, y 417 lograron conectarse a los Circuitos Alternativos de Comercialización (CIALACOS), demostrando que producir bien también es vender mejor.</w:t>
      </w:r>
    </w:p>
    <w:p w:rsidR="00047A10" w:rsidRPr="00047A10" w:rsidRDefault="00047A10" w:rsidP="00047A10">
      <w:pPr>
        <w:spacing w:line="276" w:lineRule="auto"/>
        <w:ind w:left="-284" w:right="-568"/>
        <w:jc w:val="both"/>
        <w:rPr>
          <w:rFonts w:ascii="Arial" w:hAnsi="Arial" w:cs="Arial"/>
          <w:lang w:val="es-ES"/>
        </w:rPr>
      </w:pPr>
    </w:p>
    <w:p w:rsidR="00047A10" w:rsidRDefault="00047A10" w:rsidP="00047A10">
      <w:pPr>
        <w:spacing w:line="276" w:lineRule="auto"/>
        <w:ind w:left="-284" w:right="-568"/>
        <w:jc w:val="both"/>
        <w:rPr>
          <w:rFonts w:ascii="Arial" w:hAnsi="Arial" w:cs="Arial"/>
          <w:lang w:val="es-ES"/>
        </w:rPr>
      </w:pPr>
    </w:p>
    <w:p w:rsidR="00047A10" w:rsidRPr="00047A10" w:rsidRDefault="00047A10" w:rsidP="00047A10">
      <w:pPr>
        <w:spacing w:line="276" w:lineRule="auto"/>
        <w:ind w:left="-284" w:right="-568"/>
        <w:jc w:val="both"/>
        <w:rPr>
          <w:rFonts w:ascii="Arial" w:hAnsi="Arial" w:cs="Arial"/>
          <w:lang w:val="es-ES"/>
        </w:rPr>
      </w:pPr>
      <w:r w:rsidRPr="00047A10">
        <w:rPr>
          <w:rFonts w:ascii="Arial" w:hAnsi="Arial" w:cs="Arial"/>
          <w:lang w:val="es-ES"/>
        </w:rPr>
        <w:t>El Proyecto de Tierras Rurales y Territorios Ancestrales entregó 495 títulos de propiedad que legalizaron 455 hectáreas, un logro que impactó directamente e indirectamente en la vida de casi 2.000 productores. Seguridad jurídica para sembrar futuro.</w:t>
      </w:r>
    </w:p>
    <w:p w:rsidR="00047A10" w:rsidRPr="00047A10" w:rsidRDefault="00047A10" w:rsidP="00047A10">
      <w:pPr>
        <w:spacing w:line="276" w:lineRule="auto"/>
        <w:ind w:left="-284" w:right="-568"/>
        <w:jc w:val="both"/>
        <w:rPr>
          <w:rFonts w:ascii="Arial" w:hAnsi="Arial" w:cs="Arial"/>
          <w:lang w:val="es-ES"/>
        </w:rPr>
      </w:pPr>
    </w:p>
    <w:p w:rsidR="00047A10" w:rsidRPr="00047A10" w:rsidRDefault="00047A10" w:rsidP="00047A10">
      <w:pPr>
        <w:spacing w:line="276" w:lineRule="auto"/>
        <w:ind w:left="-284" w:right="-568"/>
        <w:jc w:val="both"/>
        <w:rPr>
          <w:rFonts w:ascii="Arial" w:hAnsi="Arial" w:cs="Arial"/>
          <w:lang w:val="es-ES"/>
        </w:rPr>
      </w:pPr>
      <w:r w:rsidRPr="00047A10">
        <w:rPr>
          <w:rFonts w:ascii="Arial" w:hAnsi="Arial" w:cs="Arial"/>
          <w:lang w:val="es-ES"/>
        </w:rPr>
        <w:lastRenderedPageBreak/>
        <w:t>El agua, ese recurso estratégico, recibió atención prioritaria. Con el Proyecto de Riego Parcelario Tecnificado se entregaron 10 estudios de disponibilidad hídrica y se culminó el estudio definitivo en la Comuna El Marco, donde 105 productores vieron el inicio de una nueva etapa. Más de 500 productores fueron capacitados para optimizar cada gota de agua.</w:t>
      </w:r>
    </w:p>
    <w:p w:rsidR="00047A10" w:rsidRPr="00047A10" w:rsidRDefault="00047A10" w:rsidP="00047A10">
      <w:pPr>
        <w:spacing w:line="276" w:lineRule="auto"/>
        <w:ind w:left="-284" w:right="-568"/>
        <w:jc w:val="both"/>
        <w:rPr>
          <w:rFonts w:ascii="Arial" w:hAnsi="Arial" w:cs="Arial"/>
          <w:lang w:val="es-ES"/>
        </w:rPr>
      </w:pPr>
    </w:p>
    <w:p w:rsidR="00047A10" w:rsidRPr="00047A10" w:rsidRDefault="00047A10" w:rsidP="00047A10">
      <w:pPr>
        <w:spacing w:line="276" w:lineRule="auto"/>
        <w:ind w:left="-284" w:right="-568"/>
        <w:jc w:val="both"/>
        <w:rPr>
          <w:rFonts w:ascii="Arial" w:hAnsi="Arial" w:cs="Arial"/>
          <w:lang w:val="es-ES"/>
        </w:rPr>
      </w:pPr>
      <w:r w:rsidRPr="00047A10">
        <w:rPr>
          <w:rFonts w:ascii="Arial" w:hAnsi="Arial" w:cs="Arial"/>
          <w:lang w:val="es-ES"/>
        </w:rPr>
        <w:t xml:space="preserve">El riesgo también se cubrió. El Proyecto de Aseguramiento Agrícola protegió más de 1.200 hectáreas de cultivos diversos, brindando tranquilidad a unos 1.099 productores. Y el crédito fue protagonista: el proyecto </w:t>
      </w:r>
      <w:proofErr w:type="spellStart"/>
      <w:r w:rsidRPr="00047A10">
        <w:rPr>
          <w:rFonts w:ascii="Arial" w:hAnsi="Arial" w:cs="Arial"/>
          <w:lang w:val="es-ES"/>
        </w:rPr>
        <w:t>Agroimpacto</w:t>
      </w:r>
      <w:proofErr w:type="spellEnd"/>
      <w:r w:rsidRPr="00047A10">
        <w:rPr>
          <w:rFonts w:ascii="Arial" w:hAnsi="Arial" w:cs="Arial"/>
          <w:lang w:val="es-ES"/>
        </w:rPr>
        <w:t xml:space="preserve"> desembolsó casi 3 millones de dólares en la modalidad 7x7, una inyección de liquidez en los momentos justos.</w:t>
      </w:r>
    </w:p>
    <w:p w:rsidR="00047A10" w:rsidRPr="00047A10" w:rsidRDefault="00047A10" w:rsidP="00047A10">
      <w:pPr>
        <w:spacing w:line="276" w:lineRule="auto"/>
        <w:ind w:left="-284" w:right="-568"/>
        <w:jc w:val="both"/>
        <w:rPr>
          <w:rFonts w:ascii="Arial" w:hAnsi="Arial" w:cs="Arial"/>
          <w:lang w:val="es-ES"/>
        </w:rPr>
      </w:pPr>
    </w:p>
    <w:p w:rsidR="00047A10" w:rsidRPr="00047A10" w:rsidRDefault="00047A10" w:rsidP="00047A10">
      <w:pPr>
        <w:spacing w:line="276" w:lineRule="auto"/>
        <w:ind w:left="-284" w:right="-568"/>
        <w:jc w:val="both"/>
        <w:rPr>
          <w:rFonts w:ascii="Arial" w:hAnsi="Arial" w:cs="Arial"/>
          <w:lang w:val="es-ES"/>
        </w:rPr>
      </w:pPr>
      <w:r w:rsidRPr="00047A10">
        <w:rPr>
          <w:rFonts w:ascii="Arial" w:hAnsi="Arial" w:cs="Arial"/>
          <w:lang w:val="es-ES"/>
        </w:rPr>
        <w:t xml:space="preserve">La gestión institucional no se quedó atrás. La unidad jurídica procesó 255 registros de directivas de organizaciones y brindó 348 asesoramientos, tanto internos como externos, a personas naturales y jurídicas. Finalmente, la dirección distrital </w:t>
      </w:r>
      <w:r w:rsidR="00D2484B">
        <w:rPr>
          <w:rFonts w:ascii="Arial" w:hAnsi="Arial" w:cs="Arial"/>
          <w:lang w:val="es-ES"/>
        </w:rPr>
        <w:t>ejecutó el</w:t>
      </w:r>
      <w:r w:rsidRPr="00047A10">
        <w:rPr>
          <w:rFonts w:ascii="Arial" w:hAnsi="Arial" w:cs="Arial"/>
          <w:lang w:val="es-ES"/>
        </w:rPr>
        <w:t xml:space="preserve"> 99,50 por ciento de ejecución presupuestaria, manejando eficientemente 1.388.154 dólares americanos.</w:t>
      </w:r>
    </w:p>
    <w:p w:rsidR="00047A10" w:rsidRPr="00047A10" w:rsidRDefault="00047A10" w:rsidP="00047A10">
      <w:pPr>
        <w:spacing w:line="276" w:lineRule="auto"/>
        <w:ind w:left="-284" w:right="-568"/>
        <w:jc w:val="both"/>
        <w:rPr>
          <w:rFonts w:ascii="Arial" w:hAnsi="Arial" w:cs="Arial"/>
          <w:lang w:val="es-ES"/>
        </w:rPr>
      </w:pPr>
    </w:p>
    <w:p w:rsidR="00F50659" w:rsidRDefault="00D2484B" w:rsidP="00047A10">
      <w:pPr>
        <w:spacing w:line="276" w:lineRule="auto"/>
        <w:ind w:left="-284" w:right="-568"/>
        <w:jc w:val="both"/>
        <w:rPr>
          <w:rFonts w:ascii="Arial" w:hAnsi="Arial" w:cs="Arial"/>
          <w:lang w:val="es-ES"/>
        </w:rPr>
      </w:pPr>
      <w:r>
        <w:rPr>
          <w:rFonts w:ascii="Arial" w:hAnsi="Arial" w:cs="Arial"/>
          <w:lang w:val="es-ES"/>
        </w:rPr>
        <w:t xml:space="preserve">Con estas cifras, La Dirección Distrital de Pichincha del </w:t>
      </w:r>
      <w:r w:rsidR="00047A10" w:rsidRPr="00047A10">
        <w:rPr>
          <w:rFonts w:ascii="Arial" w:hAnsi="Arial" w:cs="Arial"/>
          <w:lang w:val="es-ES"/>
        </w:rPr>
        <w:t>Ministerio de Agricultura, Ganadería y Pesca no solo rinde cuentas, sino que invita a mirar el 2026 con la certeza de que el cambio en el campo es posible</w:t>
      </w:r>
      <w:r>
        <w:rPr>
          <w:rFonts w:ascii="Arial" w:hAnsi="Arial" w:cs="Arial"/>
          <w:lang w:val="es-ES"/>
        </w:rPr>
        <w:t>.</w:t>
      </w:r>
    </w:p>
    <w:sectPr w:rsidR="00F50659">
      <w:headerReference w:type="default" r:id="rId8"/>
      <w:footerReference w:type="default" r:id="rId9"/>
      <w:headerReference w:type="first" r:id="rId10"/>
      <w:footerReference w:type="first" r:id="rId11"/>
      <w:pgSz w:w="11906" w:h="16838"/>
      <w:pgMar w:top="1418" w:right="1701" w:bottom="1417" w:left="1701" w:header="1134" w:footer="70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4FA" w:rsidRDefault="00ED44FA">
      <w:r>
        <w:separator/>
      </w:r>
    </w:p>
  </w:endnote>
  <w:endnote w:type="continuationSeparator" w:id="0">
    <w:p w:rsidR="00ED44FA" w:rsidRDefault="00ED4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altName w:val="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659" w:rsidRDefault="00ED44FA">
    <w:pPr>
      <w:pBdr>
        <w:top w:val="nil"/>
        <w:left w:val="nil"/>
        <w:bottom w:val="nil"/>
        <w:right w:val="nil"/>
        <w:between w:val="nil"/>
      </w:pBdr>
      <w:tabs>
        <w:tab w:val="center" w:pos="4252"/>
        <w:tab w:val="right" w:pos="8504"/>
      </w:tabs>
      <w:rPr>
        <w:color w:val="000000"/>
      </w:rPr>
    </w:pPr>
    <w:r>
      <w:rPr>
        <w:noProof/>
        <w:lang w:eastAsia="es-EC"/>
      </w:rPr>
      <w:drawing>
        <wp:anchor distT="0" distB="0" distL="0" distR="0" simplePos="0" relativeHeight="2" behindDoc="1" locked="0" layoutInCell="1" allowOverlap="1">
          <wp:simplePos x="0" y="0"/>
          <wp:positionH relativeFrom="column">
            <wp:posOffset>-1071822</wp:posOffset>
          </wp:positionH>
          <wp:positionV relativeFrom="paragraph">
            <wp:posOffset>-1642476</wp:posOffset>
          </wp:positionV>
          <wp:extent cx="7555230" cy="2299643"/>
          <wp:effectExtent l="0" t="0" r="0" b="0"/>
          <wp:wrapNone/>
          <wp:docPr id="4097" name="image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jpg"/>
                  <pic:cNvPicPr/>
                </pic:nvPicPr>
                <pic:blipFill>
                  <a:blip r:embed="rId1" cstate="print"/>
                  <a:srcRect/>
                  <a:stretch/>
                </pic:blipFill>
                <pic:spPr>
                  <a:xfrm>
                    <a:off x="0" y="0"/>
                    <a:ext cx="7555230" cy="2299643"/>
                  </a:xfrm>
                  <a:prstGeom prst="rect">
                    <a:avLst/>
                  </a:prstGeom>
                  <a:ln w="9525" cap="flat" cmpd="sng">
                    <a:solidFill>
                      <a:srgbClr val="000000"/>
                    </a:solidFill>
                    <a:prstDash val="solid"/>
                    <a:round/>
                    <a:headEnd type="none" w="med" len="med"/>
                    <a:tailEnd type="none" w="med" len="med"/>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659" w:rsidRDefault="00ED44FA">
    <w:pPr>
      <w:pStyle w:val="Piedepgina"/>
      <w:tabs>
        <w:tab w:val="clear" w:pos="4252"/>
        <w:tab w:val="clear" w:pos="8504"/>
      </w:tabs>
    </w:pPr>
    <w:r>
      <w:rPr>
        <w:noProof/>
        <w:lang w:eastAsia="es-EC"/>
      </w:rPr>
      <w:drawing>
        <wp:anchor distT="0" distB="0" distL="0" distR="0" simplePos="0" relativeHeight="4" behindDoc="1" locked="0" layoutInCell="1" allowOverlap="1">
          <wp:simplePos x="0" y="0"/>
          <wp:positionH relativeFrom="page">
            <wp:align>right</wp:align>
          </wp:positionH>
          <wp:positionV relativeFrom="paragraph">
            <wp:posOffset>-1562454</wp:posOffset>
          </wp:positionV>
          <wp:extent cx="7555230" cy="2299643"/>
          <wp:effectExtent l="0" t="0" r="0" b="5715"/>
          <wp:wrapNone/>
          <wp:docPr id="4100" name="image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1.jpg"/>
                  <pic:cNvPicPr/>
                </pic:nvPicPr>
                <pic:blipFill>
                  <a:blip r:embed="rId1" cstate="print"/>
                  <a:srcRect/>
                  <a:stretch/>
                </pic:blipFill>
                <pic:spPr>
                  <a:xfrm>
                    <a:off x="0" y="0"/>
                    <a:ext cx="7555230" cy="2299643"/>
                  </a:xfrm>
                  <a:prstGeom prst="rect">
                    <a:avLst/>
                  </a:prstGeom>
                  <a:ln w="9525" cap="flat" cmpd="sng">
                    <a:solidFill>
                      <a:srgbClr val="000000"/>
                    </a:solidFill>
                    <a:prstDash val="solid"/>
                    <a:round/>
                    <a:headEnd type="none" w="med" len="med"/>
                    <a:tailEnd type="none" w="med" len="med"/>
                  </a:ln>
                </pic:spPr>
              </pic:pic>
            </a:graphicData>
          </a:graphic>
          <wp14:sizeRelH relativeFrom="margin">
            <wp14:pctWidth>0</wp14:pctWidth>
          </wp14:sizeRelH>
          <wp14:sizeRelV relativeFrom="margin">
            <wp14:pctHeight>0</wp14:pctHeight>
          </wp14:sizeRelV>
        </wp:anchor>
      </w:drawing>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4FA" w:rsidRDefault="00ED44FA">
      <w:r>
        <w:separator/>
      </w:r>
    </w:p>
  </w:footnote>
  <w:footnote w:type="continuationSeparator" w:id="0">
    <w:p w:rsidR="00ED44FA" w:rsidRDefault="00ED44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659" w:rsidRDefault="00F50659">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659" w:rsidRDefault="00D2484B">
    <w:pPr>
      <w:pStyle w:val="Encabezado"/>
    </w:pPr>
    <w:r>
      <w:rPr>
        <w:noProof/>
        <w:lang w:eastAsia="es-EC"/>
      </w:rPr>
      <w:drawing>
        <wp:anchor distT="0" distB="0" distL="0" distR="0" simplePos="0" relativeHeight="3" behindDoc="0" locked="0" layoutInCell="1" allowOverlap="1" wp14:anchorId="2EFBC588" wp14:editId="0BD5AF7A">
          <wp:simplePos x="0" y="0"/>
          <wp:positionH relativeFrom="page">
            <wp:posOffset>9525</wp:posOffset>
          </wp:positionH>
          <wp:positionV relativeFrom="paragraph">
            <wp:posOffset>-720090</wp:posOffset>
          </wp:positionV>
          <wp:extent cx="7554983" cy="1123950"/>
          <wp:effectExtent l="19050" t="19050" r="27305" b="19050"/>
          <wp:wrapNone/>
          <wp:docPr id="4099" name="image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2.jpg"/>
                  <pic:cNvPicPr/>
                </pic:nvPicPr>
                <pic:blipFill>
                  <a:blip r:embed="rId1" cstate="print"/>
                  <a:srcRect/>
                  <a:stretch/>
                </pic:blipFill>
                <pic:spPr>
                  <a:xfrm>
                    <a:off x="0" y="0"/>
                    <a:ext cx="7568480" cy="1125958"/>
                  </a:xfrm>
                  <a:prstGeom prst="rect">
                    <a:avLst/>
                  </a:prstGeom>
                  <a:ln w="9525" cap="flat" cmpd="sng">
                    <a:solidFill>
                      <a:srgbClr val="000000"/>
                    </a:solidFill>
                    <a:prstDash val="solid"/>
                    <a:round/>
                    <a:headEnd type="none" w="med" len="med"/>
                    <a:tailEnd type="none" w="med" len="med"/>
                  </a:ln>
                </pic:spPr>
              </pic:pic>
            </a:graphicData>
          </a:graphic>
          <wp14:sizeRelV relativeFrom="margin">
            <wp14:pctHeight>0</wp14:pctHeight>
          </wp14:sizeRelV>
        </wp:anchor>
      </w:drawing>
    </w:r>
    <w:r w:rsidR="00ED44FA">
      <w:rPr>
        <w:noProof/>
        <w:lang w:eastAsia="es-EC"/>
      </w:rPr>
      <mc:AlternateContent>
        <mc:Choice Requires="wps">
          <w:drawing>
            <wp:anchor distT="0" distB="0" distL="0" distR="0" simplePos="0" relativeHeight="5" behindDoc="0" locked="0" layoutInCell="1" allowOverlap="1" wp14:anchorId="1F793DBB" wp14:editId="0941FF1C">
              <wp:simplePos x="0" y="0"/>
              <wp:positionH relativeFrom="column">
                <wp:posOffset>-633568</wp:posOffset>
              </wp:positionH>
              <wp:positionV relativeFrom="page">
                <wp:posOffset>478465</wp:posOffset>
              </wp:positionV>
              <wp:extent cx="1662430" cy="423949"/>
              <wp:effectExtent l="0" t="0" r="0" b="0"/>
              <wp:wrapNone/>
              <wp:docPr id="4098" name="Cuadro de texto 21123843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2430" cy="423949"/>
                      </a:xfrm>
                      <a:prstGeom prst="rect">
                        <a:avLst/>
                      </a:prstGeom>
                      <a:ln>
                        <a:noFill/>
                      </a:ln>
                    </wps:spPr>
                    <wps:txbx>
                      <w:txbxContent>
                        <w:p w:rsidR="00F50659" w:rsidRDefault="00ED44FA">
                          <w:pPr>
                            <w:rPr>
                              <w:rFonts w:ascii="Arial" w:hAnsi="Arial" w:cs="Arial"/>
                              <w:b/>
                              <w:bCs/>
                              <w:color w:val="FFFFFF"/>
                              <w:sz w:val="28"/>
                              <w:szCs w:val="28"/>
                              <w:lang w:val="es-ES"/>
                            </w:rPr>
                          </w:pPr>
                          <w:r>
                            <w:rPr>
                              <w:rFonts w:ascii="Arial" w:hAnsi="Arial" w:cs="Arial"/>
                              <w:b/>
                              <w:bCs/>
                              <w:color w:val="FFFFFF"/>
                              <w:sz w:val="28"/>
                              <w:szCs w:val="28"/>
                              <w:lang w:val="es-ES"/>
                            </w:rPr>
                            <w:t xml:space="preserve">Boletín N° </w:t>
                          </w:r>
                        </w:p>
                      </w:txbxContent>
                    </wps:txbx>
                    <wps:bodyPr vert="horz" wrap="square" lIns="91440" tIns="45720" rIns="91440" bIns="45720"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793DBB" id="Cuadro de texto 2112384328" o:spid="_x0000_s1026" style="position:absolute;margin-left:-49.9pt;margin-top:37.65pt;width:130.9pt;height:33.4pt;z-index:5;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" filled="f" stroked="f">
              <v:path arrowok="t"/>
              <v:textbox>
                <w:txbxContent>
                  <w:p w:rsidR="00F50659" w:rsidRDefault="00ED44FA">
                    <w:pPr>
                      <w:rPr>
                        <w:rFonts w:ascii="Arial" w:hAnsi="Arial" w:cs="Arial"/>
                        <w:b/>
                        <w:bCs/>
                        <w:color w:val="FFFFFF"/>
                        <w:sz w:val="28"/>
                        <w:szCs w:val="28"/>
                        <w:lang w:val="es-ES"/>
                      </w:rPr>
                    </w:pPr>
                    <w:r>
                      <w:rPr>
                        <w:rFonts w:ascii="Arial" w:hAnsi="Arial" w:cs="Arial"/>
                        <w:b/>
                        <w:bCs/>
                        <w:color w:val="FFFFFF"/>
                        <w:sz w:val="28"/>
                        <w:szCs w:val="28"/>
                        <w:lang w:val="es-ES"/>
                      </w:rPr>
                      <w:t xml:space="preserve">Boletín N° </w:t>
                    </w:r>
                  </w:p>
                </w:txbxContent>
              </v:textbox>
              <w10:wrap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multiLevelType w:val="hybridMultilevel"/>
    <w:tmpl w:val="6E9CB388"/>
    <w:lvl w:ilvl="0" w:tplc="3C422E7A">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000001"/>
    <w:multiLevelType w:val="hybridMultilevel"/>
    <w:tmpl w:val="E466A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659"/>
    <w:rsid w:val="00047A10"/>
    <w:rsid w:val="0077667F"/>
    <w:rsid w:val="00D2484B"/>
    <w:rsid w:val="00ED44FA"/>
    <w:rsid w:val="00F50659"/>
  </w:rsids>
  <m:mathPr>
    <m:mathFont m:val="Cambria Math"/>
    <m:brkBin m:val="before"/>
    <m:brkBinSub m:val="--"/>
    <m:smallFrac m:val="0"/>
    <m:dispDef/>
    <m:lMargin m:val="0"/>
    <m:rMargin m:val="0"/>
    <m:defJc m:val="centerGroup"/>
    <m:wrapIndent m:val="1440"/>
    <m:intLim m:val="subSup"/>
    <m:naryLim m:val="undOvr"/>
  </m:mathPr>
  <w:themeFontLang w:val="es-EC"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F1A12"/>
  <w15:docId w15:val="{F5E76F50-4840-47CE-A0C6-A657AD82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s-EC"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qFormat/>
    <w:pPr>
      <w:keepNext/>
      <w:keepLines/>
      <w:spacing w:before="360" w:after="80"/>
      <w:outlineLvl w:val="1"/>
    </w:pPr>
    <w:rPr>
      <w:b/>
      <w:sz w:val="36"/>
      <w:szCs w:val="36"/>
    </w:rPr>
  </w:style>
  <w:style w:type="paragraph" w:styleId="Ttulo3">
    <w:name w:val="heading 3"/>
    <w:basedOn w:val="Normal"/>
    <w:next w:val="Normal"/>
    <w:uiPriority w:val="9"/>
    <w:qFormat/>
    <w:pPr>
      <w:keepNext/>
      <w:keepLines/>
      <w:spacing w:before="280" w:after="80"/>
      <w:outlineLvl w:val="2"/>
    </w:pPr>
    <w:rPr>
      <w:b/>
      <w:sz w:val="28"/>
      <w:szCs w:val="28"/>
    </w:rPr>
  </w:style>
  <w:style w:type="paragraph" w:styleId="Ttulo4">
    <w:name w:val="heading 4"/>
    <w:basedOn w:val="Normal"/>
    <w:next w:val="Normal"/>
    <w:uiPriority w:val="9"/>
    <w:qFormat/>
    <w:pPr>
      <w:keepNext/>
      <w:keepLines/>
      <w:spacing w:before="240" w:after="40"/>
      <w:outlineLvl w:val="3"/>
    </w:pPr>
    <w:rPr>
      <w:b/>
    </w:rPr>
  </w:style>
  <w:style w:type="paragraph" w:styleId="Ttulo5">
    <w:name w:val="heading 5"/>
    <w:basedOn w:val="Normal"/>
    <w:next w:val="Normal"/>
    <w:uiPriority w:val="9"/>
    <w:qFormat/>
    <w:pPr>
      <w:keepNext/>
      <w:keepLines/>
      <w:spacing w:before="220" w:after="40"/>
      <w:outlineLvl w:val="4"/>
    </w:pPr>
    <w:rPr>
      <w:b/>
      <w:sz w:val="22"/>
      <w:szCs w:val="22"/>
    </w:rPr>
  </w:style>
  <w:style w:type="paragraph" w:styleId="Ttulo6">
    <w:name w:val="heading 6"/>
    <w:basedOn w:val="Normal"/>
    <w:next w:val="Normal"/>
    <w:uiPriority w:val="9"/>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Encabezado">
    <w:name w:val="header"/>
    <w:basedOn w:val="Normal"/>
    <w:link w:val="EncabezadoCar"/>
    <w:uiPriority w:val="99"/>
    <w:pPr>
      <w:tabs>
        <w:tab w:val="center" w:pos="4252"/>
        <w:tab w:val="right" w:pos="8504"/>
      </w:tabs>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pPr>
      <w:tabs>
        <w:tab w:val="center" w:pos="4252"/>
        <w:tab w:val="right" w:pos="8504"/>
      </w:tabs>
    </w:pPr>
  </w:style>
  <w:style w:type="character" w:customStyle="1" w:styleId="PiedepginaCar">
    <w:name w:val="Pie de página Car"/>
    <w:basedOn w:val="Fuentedeprrafopredeter"/>
    <w:link w:val="Piedepgina"/>
    <w:uiPriority w:val="99"/>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Prrafodelista">
    <w:name w:val="List Paragraph"/>
    <w:basedOn w:val="Normal"/>
    <w:uiPriority w:val="34"/>
    <w:qFormat/>
    <w:pPr>
      <w:ind w:left="720"/>
      <w:contextualSpacing/>
    </w:p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pPr>
      <w:spacing w:before="100" w:beforeAutospacing="1" w:after="100" w:afterAutospacing="1"/>
    </w:pPr>
    <w:rPr>
      <w:rFonts w:ascii="Times New Roman" w:eastAsia="Times New Roman" w:hAnsi="Times New Roman" w:cs="Times New Roman"/>
      <w:lang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mFQkiThfAdKh3JQ/+OLUMu5PaA==">CgMxLjA4AHIhMXA5WjgzMjc4V0haOEtqbkU1SmIxTXR2SmxoRkFGLUtj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565</Words>
  <Characters>3110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Jorge Rafael Armendáriz Serrano</cp:lastModifiedBy>
  <cp:revision>3</cp:revision>
  <dcterms:created xsi:type="dcterms:W3CDTF">2026-04-21T14:47:00Z</dcterms:created>
  <dcterms:modified xsi:type="dcterms:W3CDTF">2026-04-21T14:51:00Z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b9f807c315164be991895919708d1b81</vt:lpwstr>
  </property>
</Properties>
</file>